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Times New Roman" w:hAnsi="Times New Roman" w:eastAsia="方正小标宋简体" w:cs="Times New Roman"/>
          <w:sz w:val="44"/>
          <w:szCs w:val="44"/>
        </w:rPr>
      </w:pPr>
    </w:p>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河北省三河市文化馆</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河北省三河市文化馆</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600" w:lineRule="exact"/>
        <w:ind w:firstLine="480" w:firstLineChars="150"/>
        <w:rPr>
          <w:rFonts w:ascii="仿宋_GB2312" w:hAnsi="宋体" w:eastAsia="仿宋_GB2312" w:cs="仿宋_GB2312"/>
          <w:sz w:val="32"/>
          <w:szCs w:val="32"/>
        </w:rPr>
      </w:pPr>
      <w:r>
        <w:rPr>
          <w:rFonts w:hint="eastAsia" w:ascii="仿宋" w:hAnsi="仿宋" w:eastAsia="仿宋"/>
          <w:sz w:val="32"/>
          <w:szCs w:val="32"/>
        </w:rPr>
        <w:t>组织群众文化活动，繁荣群众文化事业。文化宣传、文艺活动组织及相关培训、业余创作团体管理、业余文艺创作组织、村级文化室业务指导、群众文艺理论研究、文化交流、大众科普资料编辑、民族民间文化艺术遗产收集整理与保护。</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74"/>
        <w:gridCol w:w="2003"/>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574"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2003"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574" w:type="dxa"/>
            <w:vMerge w:val="continue"/>
            <w:vAlign w:val="center"/>
          </w:tcPr>
          <w:p/>
        </w:tc>
        <w:tc>
          <w:tcPr>
            <w:tcW w:w="2003"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74" w:type="dxa"/>
            <w:vAlign w:val="center"/>
          </w:tcPr>
          <w:p>
            <w:pPr>
              <w:spacing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河北省三河市文化馆</w:t>
            </w:r>
          </w:p>
        </w:tc>
        <w:tc>
          <w:tcPr>
            <w:tcW w:w="2003" w:type="dxa"/>
            <w:vAlign w:val="center"/>
          </w:tcPr>
          <w:p>
            <w:pPr>
              <w:spacing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w:t>
            </w:r>
          </w:p>
        </w:tc>
        <w:tc>
          <w:tcPr>
            <w:tcW w:w="1276" w:type="dxa"/>
            <w:vAlign w:val="center"/>
          </w:tcPr>
          <w:p>
            <w:pPr>
              <w:spacing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股级</w:t>
            </w:r>
          </w:p>
        </w:tc>
        <w:tc>
          <w:tcPr>
            <w:tcW w:w="2902" w:type="dxa"/>
            <w:vAlign w:val="center"/>
          </w:tcPr>
          <w:p>
            <w:pPr>
              <w:spacing w:line="44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财政性资金基金保证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河北省三河市文化馆</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449.58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449.58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河北省三河市文化馆</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449.58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214.98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206.18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8.8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234.6</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劳务费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专用材料费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租赁费、委托业务费</w:t>
      </w:r>
      <w:r>
        <w:rPr>
          <w:rFonts w:ascii="Times New Roman" w:hAnsi="Times New Roman" w:eastAsia="仿宋_GB2312" w:cs="Times New Roman"/>
          <w:sz w:val="32"/>
          <w:szCs w:val="32"/>
        </w:rPr>
        <w:t>等；上缴上级支出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449.58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43.7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46.3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文化馆评估</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8.8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日常办公费、邮电费、工会经费、福利</w:t>
      </w:r>
      <w:r>
        <w:rPr>
          <w:rFonts w:ascii="Times New Roman" w:hAnsi="Times New Roman" w:eastAsia="仿宋_GB2312" w:cs="Times New Roman"/>
          <w:sz w:val="32"/>
          <w:szCs w:val="32"/>
        </w:rPr>
        <w:t>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0.1</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无增减变化。</w:t>
      </w:r>
    </w:p>
    <w:p>
      <w:pPr>
        <w:spacing w:line="584" w:lineRule="exact"/>
        <w:ind w:firstLine="640" w:firstLineChars="200"/>
        <w:rPr>
          <w:rFonts w:ascii="仿宋_GB2312" w:eastAsia="仿宋_GB2312"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仿宋_GB2312" w:eastAsia="仿宋_GB2312" w:cs="Times New Roman"/>
          <w:sz w:val="32"/>
          <w:szCs w:val="32"/>
          <w:lang w:eastAsia="zh-CN"/>
        </w:rPr>
        <w:t>文化馆公共文化服务体系本级配套资金</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7"/>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vAlign w:val="center"/>
          </w:tcPr>
          <w:p>
            <w:pPr>
              <w:autoSpaceDN w:val="0"/>
              <w:jc w:val="left"/>
              <w:textAlignment w:val="center"/>
              <w:rPr>
                <w:rFonts w:ascii="Times New Roman" w:hAnsi="Times New Roman" w:eastAsia="仿宋_GB2312" w:cs="Times New Roman"/>
                <w:b/>
              </w:rPr>
            </w:pPr>
            <w:r>
              <w:rPr>
                <w:rFonts w:hint="default" w:ascii="宋体" w:hAnsi="宋体" w:eastAsia="宋体"/>
                <w:b w:val="0"/>
                <w:i w:val="0"/>
                <w:color w:val="000000"/>
                <w:sz w:val="18"/>
                <w:u w:val="none"/>
                <w:lang w:eastAsia="zh-CN"/>
              </w:rPr>
              <w:t>通过各类培训，提高我市文化水平，使我市文化作品不断产生和提高，使全市基本公共文化服务标准化、均等化。通过举办各种比赛，使我市专业艺术创作生产能力不断提高。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数量指标</w:t>
            </w:r>
          </w:p>
        </w:tc>
        <w:tc>
          <w:tcPr>
            <w:tcW w:w="1985"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举办免费开放活动次数</w:t>
            </w:r>
          </w:p>
        </w:tc>
        <w:tc>
          <w:tcPr>
            <w:tcW w:w="3402"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举办免费开放活动次数</w:t>
            </w:r>
          </w:p>
        </w:tc>
        <w:tc>
          <w:tcPr>
            <w:tcW w:w="1843" w:type="dxa"/>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24</w:t>
            </w:r>
          </w:p>
        </w:tc>
        <w:tc>
          <w:tcPr>
            <w:tcW w:w="2155"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质量指标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活动完成率</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考察活动完成情况</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100.00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时效指标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活动开展及时性</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活动开展时间</w:t>
            </w:r>
          </w:p>
        </w:tc>
        <w:tc>
          <w:tcPr>
            <w:tcW w:w="1843" w:type="dxa"/>
            <w:vAlign w:val="center"/>
          </w:tcPr>
          <w:p>
            <w:pPr>
              <w:autoSpaceDN w:val="0"/>
              <w:jc w:val="right"/>
              <w:textAlignment w:val="center"/>
              <w:rPr>
                <w:rFonts w:ascii="Times New Roman" w:hAnsi="Times New Roman" w:eastAsia="仿宋_GB2312" w:cs="Times New Roman"/>
              </w:rPr>
            </w:pP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成本指标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项目总成本</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项目总成本不大于120万元</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120.00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经济效益指标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经济效益指标</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0</w:t>
            </w:r>
          </w:p>
        </w:tc>
        <w:tc>
          <w:tcPr>
            <w:tcW w:w="1843" w:type="dxa"/>
            <w:vAlign w:val="center"/>
          </w:tcPr>
          <w:p>
            <w:pPr>
              <w:autoSpaceDN w:val="0"/>
              <w:jc w:val="right"/>
              <w:textAlignment w:val="center"/>
              <w:rPr>
                <w:rFonts w:ascii="Times New Roman" w:hAnsi="Times New Roman" w:eastAsia="仿宋_GB2312" w:cs="Times New Roman"/>
              </w:rPr>
            </w:pP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社会效益指标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正常开放覆盖率</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开放天数/应开放天数</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100.00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免费开放登记表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服务对象满意度指标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群众满意度%</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群众满意度</w:t>
            </w:r>
          </w:p>
        </w:tc>
        <w:tc>
          <w:tcPr>
            <w:tcW w:w="1843" w:type="dxa"/>
            <w:vAlign w:val="center"/>
          </w:tcPr>
          <w:p>
            <w:pPr>
              <w:autoSpaceDN w:val="0"/>
              <w:jc w:val="right"/>
              <w:textAlignment w:val="center"/>
              <w:rPr>
                <w:rFonts w:hint="eastAsia" w:ascii="Times New Roman" w:hAnsi="Times New Roman" w:eastAsia="仿宋_GB2312" w:cs="Times New Roman"/>
                <w:lang w:val="en-US" w:eastAsia="zh-CN"/>
              </w:rPr>
            </w:pPr>
            <w:r>
              <w:rPr>
                <w:rFonts w:hint="default" w:ascii="宋体" w:hAnsi="宋体" w:eastAsia="宋体"/>
                <w:b w:val="0"/>
                <w:i w:val="0"/>
                <w:color w:val="000000"/>
                <w:sz w:val="18"/>
                <w:u w:val="none"/>
                <w:lang w:eastAsia="zh-CN"/>
              </w:rPr>
              <w:t>90.00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仿宋" w:hAnsi="仿宋" w:eastAsia="仿宋" w:cs="仿宋"/>
          <w:sz w:val="32"/>
          <w:szCs w:val="32"/>
          <w:lang w:eastAsia="zh-CN"/>
        </w:rPr>
        <w:t>美术馆免费开放经费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7"/>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vAlign w:val="center"/>
          </w:tcPr>
          <w:p>
            <w:pPr>
              <w:autoSpaceDN w:val="0"/>
              <w:jc w:val="left"/>
              <w:textAlignment w:val="center"/>
              <w:rPr>
                <w:rFonts w:ascii="Times New Roman" w:hAnsi="Times New Roman" w:eastAsia="仿宋_GB2312" w:cs="Times New Roman"/>
                <w:b/>
              </w:rPr>
            </w:pPr>
            <w:r>
              <w:rPr>
                <w:rFonts w:hint="default" w:ascii="宋体" w:hAnsi="宋体" w:eastAsia="宋体"/>
                <w:b w:val="0"/>
                <w:i w:val="0"/>
                <w:color w:val="000000"/>
                <w:sz w:val="18"/>
                <w:u w:val="none"/>
                <w:lang w:eastAsia="zh-CN"/>
              </w:rPr>
              <w:t>通过开展展览活动，提高我市文化水平，使我市文化作品不断产生和提高，使全市基本公共文化服务标准化、均等化。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数量指标</w:t>
            </w:r>
          </w:p>
        </w:tc>
        <w:tc>
          <w:tcPr>
            <w:tcW w:w="1985"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开展展览活动次数</w:t>
            </w:r>
          </w:p>
        </w:tc>
        <w:tc>
          <w:tcPr>
            <w:tcW w:w="3402"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开展展览活动5次</w:t>
            </w:r>
          </w:p>
        </w:tc>
        <w:tc>
          <w:tcPr>
            <w:tcW w:w="1843" w:type="dxa"/>
            <w:vAlign w:val="top"/>
          </w:tcPr>
          <w:p>
            <w:pPr>
              <w:autoSpaceDN w:val="0"/>
              <w:jc w:val="righ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5.00</w:t>
            </w:r>
          </w:p>
        </w:tc>
        <w:tc>
          <w:tcPr>
            <w:tcW w:w="2155"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质量指标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活动完成率</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考察活动完成情况</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100.00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时效指标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活动开展及时性</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活动开展时间</w:t>
            </w:r>
          </w:p>
        </w:tc>
        <w:tc>
          <w:tcPr>
            <w:tcW w:w="1843" w:type="dxa"/>
            <w:vAlign w:val="center"/>
          </w:tcPr>
          <w:p>
            <w:pPr>
              <w:autoSpaceDN w:val="0"/>
              <w:jc w:val="right"/>
              <w:textAlignment w:val="center"/>
              <w:rPr>
                <w:rFonts w:ascii="Times New Roman" w:hAnsi="Times New Roman" w:eastAsia="仿宋_GB2312" w:cs="Times New Roman"/>
              </w:rPr>
            </w:pP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成本指标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项目总成本</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项目总成本不大于20万元</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20.00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经济效益指标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促进经济发展情况</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促进经济稳步发展</w:t>
            </w:r>
          </w:p>
        </w:tc>
        <w:tc>
          <w:tcPr>
            <w:tcW w:w="1843" w:type="dxa"/>
            <w:vAlign w:val="center"/>
          </w:tcPr>
          <w:p>
            <w:pPr>
              <w:autoSpaceDN w:val="0"/>
              <w:jc w:val="right"/>
              <w:textAlignment w:val="center"/>
              <w:rPr>
                <w:rFonts w:ascii="Times New Roman" w:hAnsi="Times New Roman" w:eastAsia="仿宋_GB2312" w:cs="Times New Roman"/>
              </w:rPr>
            </w:pP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社会效益指标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正常开放覆盖率</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开放天数/应开放天数</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100.00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免费开放登记表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服务对象满意度指标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群众满意度%</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群众满意度</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90.00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仿宋" w:hAnsi="仿宋" w:eastAsia="仿宋" w:cs="仿宋"/>
          <w:sz w:val="32"/>
          <w:szCs w:val="32"/>
          <w:lang w:eastAsia="zh-CN"/>
        </w:rPr>
        <w:t>流动服务车运行经费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7"/>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vAlign w:val="center"/>
          </w:tcPr>
          <w:p>
            <w:pPr>
              <w:autoSpaceDN w:val="0"/>
              <w:jc w:val="left"/>
              <w:textAlignment w:val="center"/>
              <w:rPr>
                <w:rFonts w:ascii="Times New Roman" w:hAnsi="Times New Roman" w:eastAsia="仿宋_GB2312" w:cs="Times New Roman"/>
                <w:b/>
              </w:rPr>
            </w:pPr>
            <w:r>
              <w:rPr>
                <w:rFonts w:hint="default" w:ascii="宋体" w:hAnsi="宋体" w:eastAsia="宋体"/>
                <w:b w:val="0"/>
                <w:i w:val="0"/>
                <w:color w:val="000000"/>
                <w:sz w:val="18"/>
                <w:u w:val="none"/>
                <w:lang w:eastAsia="zh-CN"/>
              </w:rPr>
              <w:t>通过保障各项群众文化活动顺利开展，提高我市文化水平，使全市基本公共文化服务标准化、均等化。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数量指标</w:t>
            </w:r>
          </w:p>
        </w:tc>
        <w:tc>
          <w:tcPr>
            <w:tcW w:w="1985"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出车数量</w:t>
            </w:r>
          </w:p>
        </w:tc>
        <w:tc>
          <w:tcPr>
            <w:tcW w:w="3402"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服务车数量</w:t>
            </w:r>
          </w:p>
        </w:tc>
        <w:tc>
          <w:tcPr>
            <w:tcW w:w="1843" w:type="dxa"/>
            <w:vAlign w:val="top"/>
          </w:tcPr>
          <w:p>
            <w:pPr>
              <w:autoSpaceDN w:val="0"/>
              <w:jc w:val="righ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1.00</w:t>
            </w:r>
          </w:p>
        </w:tc>
        <w:tc>
          <w:tcPr>
            <w:tcW w:w="2155"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文财务发【2011】5号文件。河北省财政厅冀财教[2007]24号、25号、26号《河北省财政厅转发财政部关于落实公益性文化设施向未成年人开放财税政策通知的通知》的文件精神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质量指标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车辆正常运转率</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车辆正常运行情况</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100.00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文财务发【2011】5号文件。河北省财政厅冀财教[2007]24号、25号、26号《河北省财政厅转发财政部关于落实公益性文化设施向未成年人开放财税政策通知的通知》的文件精神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时效指标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流动服务及时率</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流动服务时间</w:t>
            </w:r>
          </w:p>
        </w:tc>
        <w:tc>
          <w:tcPr>
            <w:tcW w:w="1843" w:type="dxa"/>
            <w:vAlign w:val="center"/>
          </w:tcPr>
          <w:p>
            <w:pPr>
              <w:autoSpaceDN w:val="0"/>
              <w:jc w:val="right"/>
              <w:textAlignment w:val="center"/>
              <w:rPr>
                <w:rFonts w:ascii="Times New Roman" w:hAnsi="Times New Roman" w:eastAsia="仿宋_GB2312" w:cs="Times New Roman"/>
              </w:rPr>
            </w:pP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成本指标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项目总成本</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项目总成本不大于7万元</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7.00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经济效益指标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经济效益指标</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0</w:t>
            </w:r>
          </w:p>
        </w:tc>
        <w:tc>
          <w:tcPr>
            <w:tcW w:w="1843" w:type="dxa"/>
            <w:vAlign w:val="center"/>
          </w:tcPr>
          <w:p>
            <w:pPr>
              <w:autoSpaceDN w:val="0"/>
              <w:jc w:val="right"/>
              <w:textAlignment w:val="center"/>
              <w:rPr>
                <w:rFonts w:ascii="Times New Roman" w:hAnsi="Times New Roman" w:eastAsia="仿宋_GB2312" w:cs="Times New Roman"/>
              </w:rPr>
            </w:pP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社会效益指标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正常开放覆盖率</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开放天数/应开放天数</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100.00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免费开放登记表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服务对象满意度指标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群众满意度%</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群众满意度</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90.00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仿宋" w:hAnsi="仿宋" w:eastAsia="仿宋" w:cs="仿宋"/>
          <w:sz w:val="32"/>
          <w:szCs w:val="32"/>
          <w:lang w:eastAsia="zh-CN"/>
        </w:rPr>
        <w:t>非物质文化保护经费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7"/>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vAlign w:val="center"/>
          </w:tcPr>
          <w:p>
            <w:pPr>
              <w:autoSpaceDN w:val="0"/>
              <w:jc w:val="left"/>
              <w:textAlignment w:val="center"/>
              <w:rPr>
                <w:rFonts w:ascii="Times New Roman" w:hAnsi="Times New Roman" w:eastAsia="仿宋_GB2312" w:cs="Times New Roman"/>
                <w:b/>
              </w:rPr>
            </w:pPr>
            <w:r>
              <w:rPr>
                <w:rFonts w:hint="default" w:ascii="宋体" w:hAnsi="宋体" w:eastAsia="宋体"/>
                <w:b w:val="0"/>
                <w:i w:val="0"/>
                <w:color w:val="000000"/>
                <w:sz w:val="18"/>
                <w:u w:val="none"/>
                <w:lang w:eastAsia="zh-CN"/>
              </w:rPr>
              <w:t>通过开展非物质文化保护，使非物质文化遗产得到有效抢救和保护，优秀特色传承人得到传承和发扬。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数量指标</w:t>
            </w:r>
          </w:p>
        </w:tc>
        <w:tc>
          <w:tcPr>
            <w:tcW w:w="1985"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参与人数</w:t>
            </w:r>
          </w:p>
        </w:tc>
        <w:tc>
          <w:tcPr>
            <w:tcW w:w="3402"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人数</w:t>
            </w:r>
          </w:p>
        </w:tc>
        <w:tc>
          <w:tcPr>
            <w:tcW w:w="1843" w:type="dxa"/>
            <w:vAlign w:val="top"/>
          </w:tcPr>
          <w:p>
            <w:pPr>
              <w:autoSpaceDN w:val="0"/>
              <w:jc w:val="righ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12.00</w:t>
            </w:r>
          </w:p>
        </w:tc>
        <w:tc>
          <w:tcPr>
            <w:tcW w:w="2155"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根据单位三定方案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质量指标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保障全年正常运转率</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保障全年正常运转100%</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100.00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时效指标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工作开展及时情况</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工作开展时间</w:t>
            </w:r>
          </w:p>
        </w:tc>
        <w:tc>
          <w:tcPr>
            <w:tcW w:w="1843" w:type="dxa"/>
            <w:vAlign w:val="center"/>
          </w:tcPr>
          <w:p>
            <w:pPr>
              <w:autoSpaceDN w:val="0"/>
              <w:jc w:val="right"/>
              <w:textAlignment w:val="center"/>
              <w:rPr>
                <w:rFonts w:ascii="Times New Roman" w:hAnsi="Times New Roman" w:eastAsia="仿宋_GB2312" w:cs="Times New Roman"/>
              </w:rPr>
            </w:pP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成本指标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项目总成本</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项目总成本不大于2万元</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2.00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经济效益指标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按时完成率</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按时完成率100%</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100.00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社会效益指标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知晓率</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宣传到的人数/计划宣传人数</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100.00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服务对象满意度指标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群众满意度%</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群众满意度</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90.00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仿宋" w:hAnsi="仿宋" w:eastAsia="仿宋" w:cs="仿宋"/>
          <w:sz w:val="32"/>
          <w:szCs w:val="32"/>
        </w:rPr>
        <w:t>2021年省级非物质文化遗产保护专项资金-冀财教【2020】183号</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7"/>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vAlign w:val="center"/>
          </w:tcPr>
          <w:p>
            <w:pPr>
              <w:autoSpaceDN w:val="0"/>
              <w:jc w:val="left"/>
              <w:textAlignment w:val="center"/>
              <w:rPr>
                <w:rFonts w:ascii="Times New Roman" w:hAnsi="Times New Roman" w:eastAsia="仿宋_GB2312" w:cs="Times New Roman"/>
                <w:b/>
              </w:rPr>
            </w:pPr>
            <w:r>
              <w:rPr>
                <w:rFonts w:hint="default" w:ascii="宋体" w:hAnsi="宋体" w:eastAsia="宋体"/>
                <w:b w:val="0"/>
                <w:i w:val="0"/>
                <w:color w:val="000000"/>
                <w:sz w:val="18"/>
                <w:u w:val="none"/>
                <w:lang w:eastAsia="zh-CN"/>
              </w:rPr>
              <w:t>通过开展非物质文化保护，使非物质文化遗产得到有效抢救和保护，优秀特色传承人得到传承和发扬。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数量指标</w:t>
            </w:r>
          </w:p>
        </w:tc>
        <w:tc>
          <w:tcPr>
            <w:tcW w:w="1985"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参与人数</w:t>
            </w:r>
          </w:p>
        </w:tc>
        <w:tc>
          <w:tcPr>
            <w:tcW w:w="3402"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人数</w:t>
            </w:r>
          </w:p>
        </w:tc>
        <w:tc>
          <w:tcPr>
            <w:tcW w:w="1843" w:type="dxa"/>
            <w:vAlign w:val="top"/>
          </w:tcPr>
          <w:p>
            <w:pPr>
              <w:autoSpaceDN w:val="0"/>
              <w:jc w:val="righ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12.00</w:t>
            </w:r>
          </w:p>
        </w:tc>
        <w:tc>
          <w:tcPr>
            <w:tcW w:w="2155"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根据单位三定方案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质量指标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保障全年正常运转率</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保障全年正常运转100%</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100.00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时效指标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全年1-12月完成</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全年1-12月完成100%</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100.00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成本指标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项目总成本</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项目总成本不大于0.6万元</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0.60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经济效益指标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按时完成率</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按时完成率100%</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100.00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社会效益指标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知晓率</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宣传到的人数/计划宣传人数</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85.00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服务对象满意度指标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群众满意度%</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群众满意度100%</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90.00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满意度调查表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仿宋" w:hAnsi="仿宋" w:eastAsia="仿宋" w:cs="仿宋"/>
          <w:sz w:val="32"/>
          <w:szCs w:val="32"/>
          <w:lang w:eastAsia="zh-CN"/>
        </w:rPr>
        <w:t>第五次文化馆评估</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7"/>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vAlign w:val="center"/>
          </w:tcPr>
          <w:p>
            <w:pPr>
              <w:autoSpaceDN w:val="0"/>
              <w:jc w:val="left"/>
              <w:textAlignment w:val="center"/>
              <w:rPr>
                <w:rFonts w:ascii="Times New Roman" w:hAnsi="Times New Roman" w:eastAsia="仿宋_GB2312" w:cs="Times New Roman"/>
                <w:b/>
              </w:rPr>
            </w:pPr>
            <w:r>
              <w:rPr>
                <w:rFonts w:hint="default" w:ascii="宋体" w:hAnsi="宋体" w:eastAsia="宋体"/>
                <w:b w:val="0"/>
                <w:i w:val="0"/>
                <w:color w:val="000000"/>
                <w:sz w:val="18"/>
                <w:u w:val="none"/>
                <w:lang w:eastAsia="zh-CN"/>
              </w:rPr>
              <w:t>促进提高我市文化水平，使全市基本公共文化服务标准化、均等化。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数量指标</w:t>
            </w:r>
          </w:p>
        </w:tc>
        <w:tc>
          <w:tcPr>
            <w:tcW w:w="1985"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数字平台受益人次</w:t>
            </w:r>
          </w:p>
        </w:tc>
        <w:tc>
          <w:tcPr>
            <w:tcW w:w="3402"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数字平台受益人次600人</w:t>
            </w:r>
          </w:p>
        </w:tc>
        <w:tc>
          <w:tcPr>
            <w:tcW w:w="1843" w:type="dxa"/>
            <w:vAlign w:val="top"/>
          </w:tcPr>
          <w:p>
            <w:pPr>
              <w:autoSpaceDN w:val="0"/>
              <w:jc w:val="righ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600.00</w:t>
            </w:r>
          </w:p>
        </w:tc>
        <w:tc>
          <w:tcPr>
            <w:tcW w:w="2155" w:type="dxa"/>
            <w:vAlign w:val="top"/>
          </w:tcPr>
          <w:p>
            <w:pPr>
              <w:autoSpaceDN w:val="0"/>
              <w:jc w:val="left"/>
              <w:textAlignment w:val="top"/>
              <w:rPr>
                <w:rFonts w:ascii="Times New Roman" w:hAnsi="Times New Roman" w:eastAsia="仿宋_GB2312" w:cs="Times New Roman"/>
              </w:rPr>
            </w:pPr>
            <w:r>
              <w:rPr>
                <w:rFonts w:hint="default" w:ascii="宋体" w:hAnsi="宋体" w:eastAsia="宋体"/>
                <w:b w:val="0"/>
                <w:i w:val="0"/>
                <w:color w:val="000000"/>
                <w:sz w:val="18"/>
                <w:u w:val="none"/>
                <w:lang w:eastAsia="zh-CN"/>
              </w:rPr>
              <w:t>文财务发【2011】5号文件。河北省财政厅冀财教[2007]24号、25号、26号《河北省财政厅转发财政部关于落实公益性文化设施向未成年人开放财税政策通知的通知》的文件精神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质量指标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数字平台利用率</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数字平台利用率100%</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100.00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文财务发【2011】5号文件。河北省财政厅冀财教[2007]24号、25号、26号《河北省财政厅转发财政部关于落实公益性文化设施向未成年人开放财税政策通知的通知》的文件精神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时效指标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季度完成百分比%</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第一季度完成20%，第二季度完成50%，第三季度完成80%，第四季度完成100%</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100.00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成本指标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项目总成本</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项目总成本不大于85万元</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85.00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经济效益指标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经济效益指标</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0</w:t>
            </w:r>
          </w:p>
        </w:tc>
        <w:tc>
          <w:tcPr>
            <w:tcW w:w="1843" w:type="dxa"/>
            <w:vAlign w:val="center"/>
          </w:tcPr>
          <w:p>
            <w:pPr>
              <w:autoSpaceDN w:val="0"/>
              <w:jc w:val="right"/>
              <w:textAlignment w:val="center"/>
              <w:rPr>
                <w:rFonts w:ascii="Times New Roman" w:hAnsi="Times New Roman" w:eastAsia="仿宋_GB2312" w:cs="Times New Roman"/>
              </w:rPr>
            </w:pPr>
          </w:p>
        </w:tc>
        <w:tc>
          <w:tcPr>
            <w:tcW w:w="2155" w:type="dxa"/>
            <w:vAlign w:val="center"/>
          </w:tcPr>
          <w:p>
            <w:pPr>
              <w:autoSpaceDN w:val="0"/>
              <w:jc w:val="left"/>
              <w:textAlignment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社会效益指标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公共文化服务标准化、均等化覆</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丰富群众文化生活，使全市基本公共文化服务标准化、均等化覆盖率100%</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100.00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文财务发【2011】5号文件。河北省财政厅冀财教[2007]24号、25号、26号《河北省财政厅转发财政部关于落实公益性文化设施向未成年人开放财税政策通知的通知》的文件精神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服务对象满意度指标</w:t>
            </w:r>
          </w:p>
        </w:tc>
        <w:tc>
          <w:tcPr>
            <w:tcW w:w="198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群众满意度%</w:t>
            </w:r>
          </w:p>
        </w:tc>
        <w:tc>
          <w:tcPr>
            <w:tcW w:w="3402"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群众满意度100%</w:t>
            </w:r>
          </w:p>
        </w:tc>
        <w:tc>
          <w:tcPr>
            <w:tcW w:w="1843" w:type="dxa"/>
            <w:vAlign w:val="center"/>
          </w:tcPr>
          <w:p>
            <w:pPr>
              <w:autoSpaceDN w:val="0"/>
              <w:jc w:val="righ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90.00</w:t>
            </w:r>
          </w:p>
        </w:tc>
        <w:tc>
          <w:tcPr>
            <w:tcW w:w="2155" w:type="dxa"/>
            <w:vAlign w:val="center"/>
          </w:tcPr>
          <w:p>
            <w:pPr>
              <w:autoSpaceDN w:val="0"/>
              <w:jc w:val="left"/>
              <w:textAlignment w:val="center"/>
              <w:rPr>
                <w:rFonts w:ascii="Times New Roman" w:hAnsi="Times New Roman" w:eastAsia="仿宋_GB2312" w:cs="Times New Roman"/>
              </w:rPr>
            </w:pPr>
            <w:r>
              <w:rPr>
                <w:rFonts w:hint="default" w:ascii="宋体" w:hAnsi="宋体" w:eastAsia="宋体"/>
                <w:b w:val="0"/>
                <w:i w:val="0"/>
                <w:color w:val="000000"/>
                <w:sz w:val="18"/>
                <w:u w:val="none"/>
                <w:lang w:eastAsia="zh-CN"/>
              </w:rP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bookmarkEnd w:id="1"/>
    </w:p>
    <w:p>
      <w:pPr>
        <w:spacing w:line="584" w:lineRule="exact"/>
        <w:jc w:val="left"/>
        <w:outlineLvl w:val="0"/>
        <w:rPr>
          <w:rFonts w:ascii="Times New Roman" w:hAnsi="Times New Roman" w:eastAsia="仿宋_GB2312" w:cs="Times New Roman"/>
        </w:rPr>
      </w:pPr>
    </w:p>
    <w:p>
      <w:pPr>
        <w:jc w:val="center"/>
        <w:outlineLvl w:val="1"/>
        <w:rPr>
          <w:rFonts w:hint="eastAsia" w:ascii="方正小标宋_GBK" w:eastAsia="方正小标宋_GBK" w:cs="Times New Roman"/>
          <w:sz w:val="32"/>
        </w:rPr>
      </w:pPr>
      <w:bookmarkStart w:id="2" w:name="_Toc64920910"/>
    </w:p>
    <w:p>
      <w:pPr>
        <w:jc w:val="center"/>
        <w:outlineLvl w:val="1"/>
        <w:rPr>
          <w:rFonts w:hint="eastAsia" w:ascii="方正小标宋_GBK" w:eastAsia="方正小标宋_GBK" w:cs="Times New Roman"/>
          <w:sz w:val="32"/>
        </w:rPr>
      </w:pPr>
    </w:p>
    <w:p>
      <w:pPr>
        <w:jc w:val="center"/>
        <w:outlineLvl w:val="1"/>
        <w:rPr>
          <w:rFonts w:hint="eastAsia" w:ascii="方正小标宋_GBK" w:eastAsia="方正小标宋_GBK" w:cs="Times New Roman"/>
          <w:sz w:val="32"/>
        </w:rPr>
      </w:pPr>
    </w:p>
    <w:p>
      <w:pPr>
        <w:jc w:val="center"/>
        <w:outlineLvl w:val="1"/>
        <w:rPr>
          <w:rFonts w:hint="eastAsia" w:ascii="方正小标宋_GBK" w:eastAsia="方正小标宋_GBK" w:cs="Times New Roman"/>
          <w:sz w:val="32"/>
        </w:rPr>
      </w:pPr>
    </w:p>
    <w:p>
      <w:pPr>
        <w:jc w:val="center"/>
        <w:outlineLvl w:val="1"/>
        <w:rPr>
          <w:rFonts w:ascii="Times New Roman" w:hAnsi="Times New Roman" w:cs="Times New Roman"/>
          <w:sz w:val="32"/>
        </w:rPr>
      </w:pPr>
      <w:r>
        <w:rPr>
          <w:rFonts w:hint="eastAsia" w:ascii="方正小标宋_GBK" w:eastAsia="方正小标宋_GBK" w:cs="Times New Roman"/>
          <w:sz w:val="32"/>
        </w:rPr>
        <w:t>部门政府采购预算</w:t>
      </w:r>
      <w:bookmarkEnd w:id="2"/>
    </w:p>
    <w:tbl>
      <w:tblPr>
        <w:tblStyle w:val="7"/>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sz w:val="24"/>
                <w:lang w:eastAsia="zh-CN"/>
              </w:rPr>
              <w:t>河北省三河市文化馆</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河北省三河市文化馆</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333.87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7"/>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三河</w:t>
            </w:r>
            <w:r>
              <w:rPr>
                <w:rFonts w:ascii="Times New Roman" w:hAnsi="Times New Roman" w:eastAsia="仿宋_GB2312" w:cs="Times New Roman"/>
                <w:b/>
                <w:bCs/>
                <w:kern w:val="0"/>
                <w:sz w:val="32"/>
                <w:szCs w:val="32"/>
              </w:rPr>
              <w:t>市市直部门固定资产占用情况表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河北省三河市文化馆</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333.87</w:t>
            </w:r>
            <w:bookmarkStart w:id="3" w:name="_GoBack"/>
            <w:bookmarkEnd w:id="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1176</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1176</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292</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217.12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ArialUnicodeMS">
    <w:altName w:val="Dotum"/>
    <w:panose1 w:val="00000000000000000000"/>
    <w:charset w:val="81"/>
    <w:family w:val="auto"/>
    <w:pitch w:val="default"/>
    <w:sig w:usb0="00000000" w:usb1="00000000" w:usb2="00000010" w:usb3="00000000" w:csb0="00080001" w:csb1="00000000"/>
  </w:font>
  <w:font w:name="方正小标宋_GBK">
    <w:altName w:val="微软雅黑"/>
    <w:panose1 w:val="00000000000000000000"/>
    <w:charset w:val="86"/>
    <w:family w:val="auto"/>
    <w:pitch w:val="default"/>
    <w:sig w:usb0="00000000" w:usb1="00000000" w:usb2="00000000" w:usb3="00000000" w:csb0="00040000" w:csb1="00000000"/>
  </w:font>
  <w:font w:name="方正书宋_GBK">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CE23607"/>
    <w:rsid w:val="5A8F493E"/>
    <w:rsid w:val="78E128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qFormat/>
    <w:uiPriority w:val="0"/>
    <w:rPr>
      <w:rFonts w:ascii="Times New Roman" w:hAnsi="Times New Roman" w:cs="Times New Roman"/>
      <w:szCs w:val="24"/>
    </w:rPr>
  </w:style>
  <w:style w:type="paragraph" w:styleId="5">
    <w:name w:val="footnote text"/>
    <w:basedOn w:val="1"/>
    <w:qFormat/>
    <w:uiPriority w:val="0"/>
    <w:pPr>
      <w:snapToGrid w:val="0"/>
      <w:jc w:val="left"/>
    </w:pPr>
    <w:rPr>
      <w:rFonts w:cs="Times New Roman"/>
      <w:sz w:val="18"/>
      <w:szCs w:val="18"/>
    </w:rPr>
  </w:style>
  <w:style w:type="paragraph" w:styleId="6">
    <w:name w:val="toc 2"/>
    <w:basedOn w:val="1"/>
    <w:next w:val="1"/>
    <w:qFormat/>
    <w:uiPriority w:val="0"/>
    <w:pPr>
      <w:ind w:left="200" w:leftChars="200"/>
    </w:pPr>
    <w:rPr>
      <w:rFonts w:ascii="Times New Roman" w:hAnsi="Times New Roman" w:cs="Times New Roman"/>
      <w:szCs w:val="24"/>
    </w:rPr>
  </w:style>
  <w:style w:type="character" w:styleId="9">
    <w:name w:val="footnote reference"/>
    <w:uiPriority w:val="0"/>
    <w:rPr>
      <w:vertAlign w:val="superscript"/>
    </w:rPr>
  </w:style>
  <w:style w:type="paragraph" w:customStyle="1" w:styleId="10">
    <w:name w:val="批注框文本 Char Char"/>
    <w:basedOn w:val="1"/>
    <w:qFormat/>
    <w:uiPriority w:val="0"/>
    <w:rPr>
      <w:sz w:val="18"/>
      <w:szCs w:val="18"/>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510</Words>
  <Characters>2907</Characters>
  <Lines>24</Lines>
  <Paragraphs>6</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2020-01-14T11:27:00Z</dcterms:created>
  <dc:creator>guest</dc:creator>
  <cp:lastModifiedBy>Misss~R</cp:lastModifiedBy>
  <cp:lastPrinted>2018-01-31T14:12:00Z</cp:lastPrinted>
  <dcterms:modified xsi:type="dcterms:W3CDTF">2021-04-12T01:44:46Z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92071D78A8684D82BB9F451DAED27D0A</vt:lpwstr>
  </property>
</Properties>
</file>